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4A0243" w:rsidRDefault="00334BA7" w:rsidP="00334BA7">
      <w:pPr>
        <w:jc w:val="right"/>
        <w:rPr>
          <w:i/>
          <w:color w:val="FF0000"/>
          <w:sz w:val="28"/>
        </w:rPr>
      </w:pPr>
      <w:r>
        <w:rPr>
          <w:sz w:val="28"/>
        </w:rPr>
        <w:t xml:space="preserve">(в ред. </w:t>
      </w:r>
      <w:r w:rsidRPr="00FA2687">
        <w:rPr>
          <w:i/>
          <w:color w:val="FF0000"/>
          <w:sz w:val="28"/>
        </w:rPr>
        <w:t>Дополнительного соглашения № 1 от 17.03.2025</w:t>
      </w:r>
    </w:p>
    <w:p w:rsidR="00060F71" w:rsidRDefault="004A0243" w:rsidP="00334BA7">
      <w:pPr>
        <w:jc w:val="right"/>
        <w:rPr>
          <w:sz w:val="28"/>
        </w:rPr>
      </w:pPr>
      <w:r>
        <w:rPr>
          <w:i/>
          <w:color w:val="0070C0"/>
          <w:sz w:val="28"/>
        </w:rPr>
        <w:t>Дополнительного соглашения № 2 от 10.04.2025</w:t>
      </w:r>
      <w:r w:rsidR="00334BA7" w:rsidRPr="00EF282C">
        <w:rPr>
          <w:sz w:val="28"/>
        </w:rPr>
        <w:t>)</w:t>
      </w:r>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области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r w:rsidRPr="00DD685C">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
    <w:p w:rsidR="00CE53E7" w:rsidRPr="00DD685C" w:rsidRDefault="00CE53E7" w:rsidP="00CE53E7">
      <w:pPr>
        <w:ind w:firstLine="709"/>
        <w:jc w:val="both"/>
        <w:rPr>
          <w:sz w:val="28"/>
          <w:szCs w:val="28"/>
        </w:rPr>
      </w:pPr>
      <w:r w:rsidRPr="00DD685C">
        <w:rPr>
          <w:sz w:val="28"/>
          <w:szCs w:val="28"/>
        </w:rPr>
        <w:t>профессиональные союзы медицинских работников в лице председателя Еврейской областной организации профсоюза работников здравоохранения Кожукарь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w:t>
      </w:r>
      <w:r w:rsidRPr="00DD685C">
        <w:rPr>
          <w:sz w:val="28"/>
          <w:szCs w:val="28"/>
        </w:rPr>
        <w:lastRenderedPageBreak/>
        <w:t>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подушевого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формирования подушевог</w:t>
      </w:r>
      <w:r w:rsidR="00866BA2" w:rsidRPr="00DD685C">
        <w:rPr>
          <w:sz w:val="28"/>
          <w:szCs w:val="28"/>
        </w:rPr>
        <w:t xml:space="preserve">о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r w:rsidR="00CD0AE5" w:rsidRPr="00DD685C">
        <w:rPr>
          <w:sz w:val="28"/>
          <w:szCs w:val="28"/>
        </w:rPr>
        <w:t>подушевые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r w:rsidRPr="00DD685C">
        <w:rPr>
          <w:sz w:val="28"/>
          <w:szCs w:val="28"/>
        </w:rPr>
        <w:t>–</w:t>
      </w:r>
      <w:r w:rsidR="0080258A" w:rsidRPr="00DD685C">
        <w:rPr>
          <w:rFonts w:eastAsiaTheme="minorHAnsi"/>
          <w:sz w:val="28"/>
          <w:szCs w:val="28"/>
          <w:lang w:eastAsia="en-US"/>
        </w:rPr>
        <w:t xml:space="preserve">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lastRenderedPageBreak/>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 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 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подушевого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молекулярно-</w:t>
      </w:r>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t xml:space="preserve">генетических исследований и патологоанатомических исследований биопсийного (операционнаго)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
    <w:p w:rsidR="00E05DF1" w:rsidRPr="00DD685C" w:rsidRDefault="0090137F" w:rsidP="00E05DF1">
      <w:pPr>
        <w:pStyle w:val="ConsPlusNormal"/>
        <w:ind w:firstLine="709"/>
        <w:jc w:val="both"/>
        <w:rPr>
          <w:rFonts w:ascii="Times New Roman" w:hAnsi="Times New Roman" w:cs="Times New Roman"/>
          <w:i/>
          <w:sz w:val="28"/>
          <w:szCs w:val="28"/>
          <w:u w:val="single"/>
        </w:rPr>
      </w:pPr>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 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смерть пациета</w:t>
      </w:r>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 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xml:space="preserve">, а также за исключением случаев, когда в </w:t>
      </w:r>
      <w:r w:rsidR="00D536D3" w:rsidRPr="00DD685C">
        <w:rPr>
          <w:rFonts w:ascii="Times New Roman" w:hAnsi="Times New Roman" w:cs="Times New Roman"/>
          <w:sz w:val="28"/>
          <w:szCs w:val="28"/>
        </w:rPr>
        <w:lastRenderedPageBreak/>
        <w:t>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 xml:space="preserve">дней (включительно) со дня госпитализации (начала 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6879B2" w:rsidRPr="00DD685C" w:rsidRDefault="006879B2" w:rsidP="006879B2">
      <w:pPr>
        <w:pStyle w:val="ConsPlusNormal"/>
        <w:ind w:firstLine="709"/>
        <w:jc w:val="both"/>
        <w:rPr>
          <w:rFonts w:ascii="Times New Roman" w:hAnsi="Times New Roman" w:cs="Times New Roman"/>
          <w:sz w:val="28"/>
          <w:szCs w:val="28"/>
        </w:rPr>
      </w:pP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по подушевому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w:t>
      </w:r>
      <w:r w:rsidR="00990E46" w:rsidRPr="00DD685C">
        <w:rPr>
          <w:rFonts w:ascii="Times New Roman" w:hAnsi="Times New Roman" w:cs="Times New Roman"/>
          <w:sz w:val="28"/>
          <w:szCs w:val="28"/>
        </w:rPr>
        <w:lastRenderedPageBreak/>
        <w:t xml:space="preserve">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подушевого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подушевого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По 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r w:rsidR="006A0F1E" w:rsidRPr="00DD685C">
        <w:rPr>
          <w:rFonts w:ascii="Times New Roman" w:hAnsi="Times New Roman" w:cs="Times New Roman"/>
          <w:sz w:val="28"/>
          <w:szCs w:val="28"/>
        </w:rPr>
        <w:t xml:space="preserve">«Акушерство и гинекология», «Аллергология и иммунология», «Гастроэнтерология», «Гематология», «Гериатрия», «Дерматовенерология»,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 xml:space="preserve">«Колопроктология»,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 xml:space="preserve">«Сурдология-оториноларингология», «Терапия», «Травматология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 xml:space="preserve">«Урология», </w:t>
      </w:r>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A627DA" w:rsidRPr="00DD685C">
        <w:rPr>
          <w:rFonts w:ascii="Times New Roman" w:hAnsi="Times New Roman" w:cs="Times New Roman"/>
          <w:sz w:val="28"/>
          <w:szCs w:val="28"/>
        </w:rPr>
        <w:t>«Хирургия», «Эндокринология»,</w:t>
      </w:r>
      <w:r w:rsidR="008A5605"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t xml:space="preserve">медицинскими работниками со средним медицинским образованием, ведущих самостоятельный амбулаторный прием (за исключением </w:t>
      </w:r>
      <w:r w:rsidR="008A5605" w:rsidRPr="00DD685C">
        <w:rPr>
          <w:rFonts w:ascii="Times New Roman" w:hAnsi="Times New Roman" w:cs="Times New Roman"/>
          <w:sz w:val="28"/>
          <w:szCs w:val="28"/>
        </w:rPr>
        <w:lastRenderedPageBreak/>
        <w:t>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r w:rsidR="00EE482F" w:rsidRPr="00DD685C">
        <w:rPr>
          <w:rFonts w:ascii="Times New Roman" w:hAnsi="Times New Roman" w:cs="Times New Roman"/>
          <w:sz w:val="28"/>
          <w:szCs w:val="28"/>
        </w:rPr>
        <w:t>.</w:t>
      </w:r>
    </w:p>
    <w:p w:rsidR="00334BA7" w:rsidRDefault="00EE482F"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rPr>
        <w:t>Подушевой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w:t>
      </w:r>
      <w:r w:rsidRPr="00334BA7">
        <w:rPr>
          <w:i/>
          <w:color w:val="00CC66"/>
          <w:sz w:val="28"/>
          <w:szCs w:val="28"/>
        </w:rPr>
        <w:t>я.</w:t>
      </w:r>
      <w:r w:rsidRPr="00334BA7">
        <w:rPr>
          <w:sz w:val="28"/>
        </w:rPr>
        <w:t xml:space="preserve"> </w:t>
      </w:r>
      <w:r>
        <w:rPr>
          <w:sz w:val="28"/>
        </w:rPr>
        <w:t xml:space="preserve">(в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осуществляется вне подушевого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указанному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групп взрослого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включая диспансерное наблюдение 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забор материала для проведения анализа на определение РНК коронавируса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r w:rsidRPr="00DD685C">
        <w:rPr>
          <w:rFonts w:ascii="Times New Roman" w:hAnsi="Times New Roman" w:cs="Times New Roman"/>
          <w:color w:val="000000" w:themeColor="text1"/>
          <w:sz w:val="28"/>
          <w:szCs w:val="28"/>
          <w:lang w:val="en-US"/>
        </w:rPr>
        <w:t>cov</w:t>
      </w:r>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не проходящих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призываемых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проходящих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проведение суточного мониторирования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t>– проведение холтеровского 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0" w:name="_Hlk152237148"/>
      <w:r w:rsidR="00902B6A" w:rsidRPr="00DD685C">
        <w:rPr>
          <w:rFonts w:ascii="Times New Roman" w:hAnsi="Times New Roman"/>
          <w:color w:val="000000" w:themeColor="text1"/>
          <w:sz w:val="28"/>
        </w:rPr>
        <w:t>здравпункт</w:t>
      </w:r>
      <w:bookmarkEnd w:id="0"/>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w:t>
      </w:r>
      <w:r w:rsidR="00836428" w:rsidRPr="00DD685C">
        <w:rPr>
          <w:sz w:val="28"/>
          <w:szCs w:val="28"/>
        </w:rPr>
        <w:lastRenderedPageBreak/>
        <w:t xml:space="preserve">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4B2A5B" w:rsidRPr="00DD685C">
        <w:rPr>
          <w:color w:val="000000" w:themeColor="text1"/>
          <w:sz w:val="28"/>
          <w:szCs w:val="28"/>
        </w:rPr>
        <w:t>11 695,57</w:t>
      </w:r>
      <w:r w:rsidR="00836428" w:rsidRPr="00DD685C">
        <w:rPr>
          <w:color w:val="000000" w:themeColor="text1"/>
          <w:sz w:val="28"/>
          <w:szCs w:val="28"/>
        </w:rPr>
        <w:t xml:space="preserve"> рублей</w:t>
      </w:r>
      <w:r w:rsidR="00836428" w:rsidRPr="00DD685C">
        <w:rPr>
          <w:sz w:val="28"/>
          <w:szCs w:val="28"/>
        </w:rPr>
        <w:t>;</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Размер базового подушевого норматива финансирования в соответствии с перечнем расходов на медицинскую помощь, финансовое обеспечение которой осуществляется по подушевому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6C1AE9">
        <w:rPr>
          <w:color w:val="000000" w:themeColor="text1"/>
          <w:sz w:val="28"/>
          <w:szCs w:val="28"/>
        </w:rPr>
        <w:t>1 241,46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подушевого норматива финансирования в соответствии с перечнем расходов на медицинскую помощь, финансовое обеспечение которой осуществляется по подушевому нормативу финансирования по профилю «Акушерство и гинекология» – </w:t>
      </w:r>
      <w:r w:rsidR="006C1AE9">
        <w:rPr>
          <w:rFonts w:ascii="Times New Roman" w:hAnsi="Times New Roman" w:cs="Times New Roman"/>
          <w:color w:val="000000" w:themeColor="text1"/>
          <w:sz w:val="28"/>
          <w:szCs w:val="28"/>
        </w:rPr>
        <w:t>378,38</w:t>
      </w:r>
      <w:bookmarkStart w:id="1" w:name="_GoBack"/>
      <w:bookmarkEnd w:id="1"/>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подушевых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страхования на осуществление переданных органам государственной власти субъектов Российской </w:t>
      </w:r>
      <w:r w:rsidRPr="00DD685C">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врача-оториноларинголога,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t xml:space="preserve">3.4.11. Перечень показателей результативности деятельности медицинских организаций, </w:t>
      </w:r>
      <w:r w:rsidR="00B64759" w:rsidRPr="00DD685C">
        <w:t xml:space="preserve">финансируемых по подушевому нормативу финансирования на </w:t>
      </w:r>
      <w:r w:rsidRPr="00DD685C">
        <w:t xml:space="preserve">прикрепившихся лиц, установленный в приложении </w:t>
      </w:r>
      <w:r w:rsidR="00B64759" w:rsidRPr="00DD685C">
        <w:br/>
      </w:r>
      <w:r w:rsidRPr="00DD685C">
        <w:lastRenderedPageBreak/>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
    <w:p w:rsidR="00863FB0" w:rsidRPr="00DD685C" w:rsidRDefault="00BF3F8C" w:rsidP="00142C95">
      <w:pPr>
        <w:pStyle w:val="a3"/>
        <w:ind w:firstLine="709"/>
      </w:pPr>
      <w:r w:rsidRPr="00DD685C">
        <w:t>3.4.12. 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2B3073" w:rsidRPr="00DD685C">
        <w:rPr>
          <w:color w:val="000000" w:themeColor="text1"/>
          <w:sz w:val="28"/>
          <w:szCs w:val="28"/>
        </w:rPr>
        <w:t>10 998,26</w:t>
      </w:r>
      <w:r w:rsidR="00B9345E" w:rsidRPr="00DD685C">
        <w:rPr>
          <w:color w:val="000000" w:themeColor="text1"/>
          <w:sz w:val="28"/>
          <w:szCs w:val="28"/>
        </w:rPr>
        <w:t xml:space="preserve"> </w:t>
      </w:r>
      <w:r w:rsidR="00B9345E" w:rsidRPr="00DD685C">
        <w:rPr>
          <w:sz w:val="28"/>
          <w:szCs w:val="28"/>
        </w:rPr>
        <w:t>рубл</w:t>
      </w:r>
      <w:r w:rsidR="002B3073" w:rsidRPr="00DD685C">
        <w:rPr>
          <w:sz w:val="28"/>
          <w:szCs w:val="28"/>
        </w:rPr>
        <w:t>ей</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затратоемкости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1B5C2A" w:rsidRPr="00DD685C">
        <w:rPr>
          <w:rFonts w:ascii="Times New Roman" w:hAnsi="Times New Roman" w:cs="Times New Roman"/>
          <w:sz w:val="28"/>
        </w:rPr>
        <w:t>50 227,44</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и </w:t>
      </w:r>
      <w:r w:rsidR="001B5C2A" w:rsidRPr="00DD685C">
        <w:rPr>
          <w:rFonts w:ascii="Times New Roman" w:hAnsi="Times New Roman" w:cs="Times New Roman"/>
          <w:sz w:val="28"/>
        </w:rPr>
        <w:t>33 574,49</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я</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рассчитанный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3.5.12. Перечень КСГ, при оплате которых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предполагающих хирургическое вмешательство или тромболитическую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t>3.5.16 Тарифы на проведение процедуры гемофильтрации крови продленной, селективной гемосорбции липополисахаридов – согласно приложени</w:t>
      </w:r>
      <w:r w:rsidR="00902E09" w:rsidRPr="00DD685C">
        <w:t>ю</w:t>
      </w:r>
      <w:r w:rsidRPr="00DD685C">
        <w:t xml:space="preserve"> № </w:t>
      </w:r>
      <w:r w:rsidR="00A02538" w:rsidRPr="00DD685C">
        <w:t>44</w:t>
      </w:r>
      <w:r w:rsidRPr="00DD685C">
        <w:t>, указанным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w:t>
      </w:r>
      <w:r w:rsidR="009C66CC" w:rsidRPr="00DD685C">
        <w:rPr>
          <w:sz w:val="28"/>
          <w:szCs w:val="28"/>
        </w:rPr>
        <w:lastRenderedPageBreak/>
        <w:t xml:space="preserve">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B75906" w:rsidRPr="00DD685C">
        <w:rPr>
          <w:color w:val="000000" w:themeColor="text1"/>
          <w:sz w:val="28"/>
          <w:szCs w:val="28"/>
        </w:rPr>
        <w:t>2 651,96</w:t>
      </w:r>
      <w:r w:rsidR="009C66CC" w:rsidRPr="00DD685C">
        <w:rPr>
          <w:color w:val="000000" w:themeColor="text1"/>
          <w:sz w:val="28"/>
          <w:szCs w:val="28"/>
        </w:rPr>
        <w:t xml:space="preserve"> рубл</w:t>
      </w:r>
      <w:r w:rsidR="00B75906" w:rsidRPr="00DD685C">
        <w:rPr>
          <w:color w:val="000000" w:themeColor="text1"/>
          <w:sz w:val="28"/>
          <w:szCs w:val="28"/>
        </w:rPr>
        <w:t>ь</w:t>
      </w:r>
      <w:r w:rsidR="009C66CC" w:rsidRPr="00DD685C">
        <w:rPr>
          <w:sz w:val="28"/>
          <w:szCs w:val="28"/>
        </w:rPr>
        <w:t>;</w:t>
      </w:r>
      <w:r w:rsidR="00E06756" w:rsidRPr="00DD685C">
        <w:rPr>
          <w:sz w:val="28"/>
          <w:szCs w:val="28"/>
        </w:rPr>
        <w:t xml:space="preserve"> </w:t>
      </w:r>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затратоемкости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1B5C2A" w:rsidRPr="00DD685C">
        <w:rPr>
          <w:sz w:val="28"/>
        </w:rPr>
        <w:t>27 178,89</w:t>
      </w:r>
      <w:r w:rsidRPr="00DD685C">
        <w:rPr>
          <w:sz w:val="28"/>
        </w:rPr>
        <w:t xml:space="preserve"> 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1B5C2A" w:rsidRPr="00DD685C">
        <w:rPr>
          <w:sz w:val="28"/>
        </w:rPr>
        <w:t>18 167,71</w:t>
      </w:r>
      <w:r w:rsidRPr="00DD685C">
        <w:rPr>
          <w:sz w:val="28"/>
        </w:rPr>
        <w:t xml:space="preserve"> 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рассчитанный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предполагающих хирургическое вмешательство или тромболитическую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r w:rsidR="00015926" w:rsidRPr="00DD685C">
        <w:t>тромболизиса</w:t>
      </w:r>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B75906" w:rsidRPr="00DD685C">
        <w:rPr>
          <w:color w:val="000000" w:themeColor="text1"/>
          <w:sz w:val="28"/>
          <w:szCs w:val="28"/>
        </w:rPr>
        <w:t>1 994,16</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подушевого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подушевому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подушевых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lastRenderedPageBreak/>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тромболитической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4. 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 xml:space="preserve">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r w:rsidRPr="00DD685C">
        <w:rPr>
          <w:rFonts w:eastAsiaTheme="minorHAnsi"/>
          <w:color w:val="000000" w:themeColor="text1"/>
          <w:lang w:eastAsia="en-US"/>
        </w:rPr>
        <w:t xml:space="preserve">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w:t>
      </w:r>
      <w:r w:rsidRPr="00DD685C">
        <w:rPr>
          <w:rFonts w:eastAsiaTheme="minorHAnsi"/>
          <w:color w:val="000000" w:themeColor="text1"/>
          <w:lang w:eastAsia="en-US"/>
        </w:rPr>
        <w:lastRenderedPageBreak/>
        <w:t>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4.1. 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В случае корректировки реестров счетов за оказанную медицинскую помощь, оплачиваемую по подушевым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в амбулаторных 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В случае корректировки реестров счетов за оказанную вне медицинской организации скорую медицинскую помощь, оплачиваемую по подушевым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w:t>
      </w:r>
      <w:r w:rsidRPr="00DD685C">
        <w:rPr>
          <w:rFonts w:ascii="Times New Roman" w:eastAsiaTheme="minorHAnsi" w:hAnsi="Times New Roman" w:cs="Times New Roman"/>
          <w:sz w:val="28"/>
          <w:szCs w:val="28"/>
        </w:rPr>
        <w:lastRenderedPageBreak/>
        <w:t xml:space="preserve">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w:t>
      </w:r>
      <w:r w:rsidR="00620534" w:rsidRPr="00DD685C">
        <w:rPr>
          <w:rFonts w:eastAsiaTheme="minorHAnsi"/>
          <w:sz w:val="28"/>
          <w:szCs w:val="28"/>
          <w:lang w:eastAsia="en-US"/>
        </w:rPr>
        <w:lastRenderedPageBreak/>
        <w:t>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подушевому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lastRenderedPageBreak/>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и подушевого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подушевого</w:t>
      </w:r>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(Кдj), применяемые при установлении подушевого норматива финансирования по амбулаторной помощи</w:t>
      </w:r>
      <w:r w:rsidR="006A489F" w:rsidRPr="00DD685C">
        <w:rPr>
          <w:bCs/>
          <w:color w:val="000000" w:themeColor="text1"/>
        </w:rPr>
        <w:t xml:space="preserve"> по всем профилям, кроме профиля «Акушерсов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(Кдj), применяемые при установлении подушевого норматива финансирования по амбулаторной помощи по профилю «Акушерсов и гинекология», на 202</w:t>
      </w:r>
      <w:r w:rsidR="00BA45D0" w:rsidRPr="00DD685C">
        <w:rPr>
          <w:bCs/>
          <w:color w:val="000000" w:themeColor="text1"/>
        </w:rPr>
        <w:t>5</w:t>
      </w:r>
      <w:r w:rsidR="006A489F" w:rsidRPr="00DD685C">
        <w:rPr>
          <w:bCs/>
          <w:color w:val="000000" w:themeColor="text1"/>
        </w:rPr>
        <w:t xml:space="preserve"> год»;</w:t>
      </w:r>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«Подушевой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«Подушевой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на ведение школ для больных с хроноческими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BA45D0" w:rsidRPr="00DD685C">
        <w:rPr>
          <w:bCs/>
          <w:color w:val="000000"/>
          <w:sz w:val="28"/>
          <w:szCs w:val="28"/>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расчета значений показателей результативности деятельности медицинских организаций»;</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 </w:t>
      </w:r>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r w:rsidR="00F53B33" w:rsidRPr="00DD685C">
        <w:rPr>
          <w:sz w:val="28"/>
          <w:szCs w:val="28"/>
        </w:rPr>
        <w:t xml:space="preserve"> 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«Тарифы на комплексное посещение по профилю «Медицинская реабилитация» на 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
    <w:p w:rsidR="00257383" w:rsidRPr="00DD685C" w:rsidRDefault="00050DE0" w:rsidP="00C03499">
      <w:pPr>
        <w:pStyle w:val="a3"/>
        <w:numPr>
          <w:ilvl w:val="0"/>
          <w:numId w:val="25"/>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w:t>
      </w:r>
      <w:r w:rsidRPr="00DD685C">
        <w:rPr>
          <w:bCs/>
          <w:color w:val="000000"/>
        </w:rPr>
        <w:lastRenderedPageBreak/>
        <w:t>соответствии/несоответствия ФАП требованиям, установленным положением об организации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межучрежденческих расчетов, осуществляющимися медицинскими организациями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групп взрослого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 xml:space="preserve">«Тарифы комплексных посещений на проведение диспансеризации определенных групп взрослого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таблица № 2 «Тарифы на проведение диспансеризации 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групп взрослого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групп взрослого населения </w:t>
      </w:r>
      <w:r w:rsidRPr="00DD685C">
        <w:br/>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групп взрослого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r w:rsidR="0053531F" w:rsidRPr="00DD685C">
        <w:rPr>
          <w:sz w:val="28"/>
          <w:szCs w:val="28"/>
        </w:rPr>
        <w:lastRenderedPageBreak/>
        <w:t>межучрежденческих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групп взрослого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межучрежденческих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групп взрослого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межучрежденченских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групп взрослого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межучрежденченских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r w:rsidRPr="00DD685C">
        <w:lastRenderedPageBreak/>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r w:rsidR="00DE435E" w:rsidRPr="00DD685C">
        <w:t xml:space="preserve"> таблица 4 «Тариф на проведение ультразвукового исследования сердечно-сосудистой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«Тариф на проведение дуплексного сканирования экстракраниальных отделов брахиоцефальных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сердечно-сосудистой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мониторирования артериального давления на 202</w:t>
      </w:r>
      <w:r w:rsidR="00DA2635" w:rsidRPr="00DD685C">
        <w:t>5</w:t>
      </w:r>
      <w:r w:rsidR="009B1053" w:rsidRPr="00DD685C">
        <w:t xml:space="preserve"> год»; «Тарифы на проведение холтеровского мониторирования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lastRenderedPageBreak/>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затратоемкости (КЗ) клинико-статистических групп, </w:t>
      </w:r>
      <w:r w:rsidR="003470A7" w:rsidRPr="00DD685C">
        <w:lastRenderedPageBreak/>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Тарифы на проведение в стационарных условиях гемофильтрации крови продленной, селективной гемосорбции липополисахаридов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гефильтрации крови прод</w:t>
      </w:r>
      <w:r w:rsidR="00267E64" w:rsidRPr="00DD685C">
        <w:t>л</w:t>
      </w:r>
      <w:r w:rsidR="00AF0BAB" w:rsidRPr="00DD685C">
        <w:t>енной, селективной гемосорбции липополисахаридов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затратоемкости (КЗ)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r w:rsidRPr="00DD685C">
        <w:rPr>
          <w:bCs/>
          <w:color w:val="000000" w:themeColor="text1"/>
          <w:lang w:val="en-US"/>
        </w:rPr>
        <w:t>j</w:t>
      </w:r>
      <w:r w:rsidRPr="00DD685C">
        <w:rPr>
          <w:bCs/>
          <w:color w:val="000000" w:themeColor="text1"/>
        </w:rPr>
        <w:t>), применяемые при установлении подушевого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Коэффициенты дифференциации подушевого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«Подушевой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(КД</w:t>
      </w:r>
      <w:r w:rsidRPr="00DD685C">
        <w:rPr>
          <w:bCs/>
          <w:color w:val="000000"/>
          <w:vertAlign w:val="superscript"/>
        </w:rPr>
        <w:t>i</w:t>
      </w:r>
      <w:r w:rsidRPr="00DD685C">
        <w:rPr>
          <w:bCs/>
          <w:color w:val="000000"/>
          <w:vertAlign w:val="subscript"/>
        </w:rPr>
        <w:t>УР</w:t>
      </w:r>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оказываемой вне медицинской организайции</w:t>
      </w:r>
      <w:r w:rsidRPr="00DD685C">
        <w:t xml:space="preserve"> с проведением тромболитической терапии на 20</w:t>
      </w:r>
      <w:r w:rsidR="008648EF" w:rsidRPr="00DD685C">
        <w:t>2</w:t>
      </w:r>
      <w:r w:rsidR="00DD685C" w:rsidRPr="00DD685C">
        <w:t>5</w:t>
      </w:r>
      <w:r w:rsidRPr="00DD685C">
        <w:t xml:space="preserve"> год»;</w:t>
      </w:r>
    </w:p>
    <w:p w:rsidR="00E07857" w:rsidRPr="00DD685C" w:rsidRDefault="007C15E1" w:rsidP="0033041F">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Default="009B78CE" w:rsidP="00C41318">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4</w:t>
      </w:r>
      <w:r w:rsidRPr="00DD685C">
        <w:rPr>
          <w:color w:val="000000" w:themeColor="text1"/>
        </w:rPr>
        <w:t xml:space="preserve"> </w:t>
      </w:r>
      <w:r w:rsidR="00C41318" w:rsidRPr="00DD685C">
        <w:rPr>
          <w:color w:val="000000" w:themeColor="text1"/>
        </w:rPr>
        <w:t xml:space="preserve">Таблица 1 </w:t>
      </w:r>
      <w:r w:rsidRPr="00DD685C">
        <w:rPr>
          <w:color w:val="000000" w:themeColor="text1"/>
        </w:rPr>
        <w:t>«Тарифы на ультразвуковые исследования беременных для проведения межучреж</w:t>
      </w:r>
      <w:r w:rsidR="009B67A5" w:rsidRPr="00DD685C">
        <w:rPr>
          <w:color w:val="000000" w:themeColor="text1"/>
        </w:rPr>
        <w:t xml:space="preserve">денческих </w:t>
      </w:r>
      <w:r w:rsidR="00C41318" w:rsidRPr="00DD685C">
        <w:rPr>
          <w:color w:val="000000" w:themeColor="text1"/>
        </w:rPr>
        <w:t xml:space="preserve">и межтерриториальных </w:t>
      </w:r>
      <w:r w:rsidR="009B67A5" w:rsidRPr="00DD685C">
        <w:rPr>
          <w:color w:val="000000" w:themeColor="text1"/>
        </w:rPr>
        <w:t>расчетов на 202</w:t>
      </w:r>
      <w:r w:rsidR="00DD685C" w:rsidRPr="00DD685C">
        <w:rPr>
          <w:color w:val="000000" w:themeColor="text1"/>
        </w:rPr>
        <w:t>5</w:t>
      </w:r>
      <w:r w:rsidR="009B67A5" w:rsidRPr="00DD685C">
        <w:rPr>
          <w:color w:val="000000" w:themeColor="text1"/>
        </w:rPr>
        <w:t xml:space="preserve"> год»;</w:t>
      </w:r>
      <w:r w:rsidR="00C41318" w:rsidRPr="00DD685C">
        <w:rPr>
          <w:color w:val="000000" w:themeColor="text1"/>
        </w:rPr>
        <w:t xml:space="preserve"> Таблица 2 «Тарифы на исследование уровня связанногго с беременностью плазменного протеина</w:t>
      </w:r>
      <w:r w:rsidR="001B2B44">
        <w:rPr>
          <w:color w:val="000000" w:themeColor="text1"/>
        </w:rPr>
        <w:br/>
      </w:r>
      <w:r w:rsidR="00C41318" w:rsidRPr="00DD685C">
        <w:rPr>
          <w:color w:val="000000" w:themeColor="text1"/>
        </w:rPr>
        <w:t xml:space="preserve">А (РАРР-А) в сыворотке крови и исследование уровня хорионического </w:t>
      </w:r>
      <w:r w:rsidR="00C41318" w:rsidRPr="00DD685C">
        <w:rPr>
          <w:color w:val="000000" w:themeColor="text1"/>
        </w:rPr>
        <w:lastRenderedPageBreak/>
        <w:t>гонадотропина (свободного бета-субъединица) в сы</w:t>
      </w:r>
      <w:r w:rsidR="001B2B44">
        <w:rPr>
          <w:color w:val="000000" w:themeColor="text1"/>
        </w:rPr>
        <w:t>в</w:t>
      </w:r>
      <w:r w:rsidR="00C41318" w:rsidRPr="00DD685C">
        <w:rPr>
          <w:color w:val="000000" w:themeColor="text1"/>
        </w:rPr>
        <w:t>оротке крови для проведения межучрежденческих и межтерриториальных расчетов на 202</w:t>
      </w:r>
      <w:r w:rsidR="00DD685C" w:rsidRPr="00DD685C">
        <w:rPr>
          <w:color w:val="000000" w:themeColor="text1"/>
        </w:rPr>
        <w:t>5</w:t>
      </w:r>
      <w:r w:rsidR="00C41318" w:rsidRPr="00DD685C">
        <w:rPr>
          <w:color w:val="000000" w:themeColor="text1"/>
        </w:rPr>
        <w:t xml:space="preserve"> год</w:t>
      </w:r>
      <w:r w:rsidR="004A0243">
        <w:rPr>
          <w:color w:val="000000" w:themeColor="text1"/>
        </w:rPr>
        <w:t>»;</w:t>
      </w:r>
    </w:p>
    <w:p w:rsidR="004A0243" w:rsidRPr="004A0243" w:rsidRDefault="004A0243" w:rsidP="004A0243">
      <w:pPr>
        <w:pStyle w:val="a3"/>
        <w:numPr>
          <w:ilvl w:val="0"/>
          <w:numId w:val="25"/>
        </w:numPr>
        <w:ind w:left="0" w:firstLine="709"/>
        <w:rPr>
          <w:color w:val="000000" w:themeColor="text1"/>
        </w:rPr>
      </w:pPr>
      <w:r w:rsidRPr="004A0243">
        <w:rPr>
          <w:i/>
          <w:color w:val="0070C0"/>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(КД</w:t>
      </w:r>
      <w:r w:rsidRPr="004A0243">
        <w:rPr>
          <w:i/>
          <w:color w:val="0070C0"/>
          <w:vertAlign w:val="subscript"/>
        </w:rPr>
        <w:t>зп</w:t>
      </w:r>
      <w:r w:rsidRPr="004A0243">
        <w:rPr>
          <w:i/>
          <w:color w:val="0070C0"/>
        </w:rPr>
        <w:t>), установленных к тарифам на законченный случай лечения заболевания, включенного в клинико - статистическую группу, в стационарных условиях на апрель 2025 года, в целях распределения и доведения до медицинских организаций суммы средств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Еврейской автономной области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Еврейской автономной области в 2025 году, в том числе на погашение просроченной кредиторской задолженности по средствам обязательного медицинского страхования, сложившейся по состоянию на 1 января 2025 года, в 5 государственных медицинских организациях Еврейской автономной области, установленной распоряжением Правительства Российской Федерации от 28.03.2025 № 748-р.</w:t>
      </w:r>
      <w:r w:rsidRPr="004A0243">
        <w:rPr>
          <w:i/>
          <w:color w:val="000000" w:themeColor="text1"/>
        </w:rPr>
        <w:t xml:space="preserve"> </w:t>
      </w:r>
      <w:r w:rsidRPr="004A0243">
        <w:rPr>
          <w:color w:val="000000" w:themeColor="text1"/>
        </w:rPr>
        <w:t>(</w:t>
      </w:r>
      <w:r w:rsidRPr="004A0243">
        <w:t xml:space="preserve">в ред. </w:t>
      </w:r>
      <w:r w:rsidRPr="004A0243">
        <w:rPr>
          <w:i/>
          <w:color w:val="0070C0"/>
        </w:rPr>
        <w:t xml:space="preserve">Дополнительного соглашения № </w:t>
      </w:r>
      <w:r>
        <w:rPr>
          <w:i/>
          <w:color w:val="0070C0"/>
        </w:rPr>
        <w:t>2</w:t>
      </w:r>
      <w:r w:rsidRPr="004A0243">
        <w:rPr>
          <w:i/>
          <w:color w:val="0070C0"/>
        </w:rPr>
        <w:t xml:space="preserve"> от </w:t>
      </w:r>
      <w:r>
        <w:rPr>
          <w:i/>
          <w:color w:val="0070C0"/>
        </w:rPr>
        <w:t>10.04</w:t>
      </w:r>
      <w:r w:rsidRPr="004A0243">
        <w:rPr>
          <w:i/>
          <w:color w:val="0070C0"/>
        </w:rPr>
        <w:t>.2025</w:t>
      </w:r>
      <w:r w:rsidRPr="004A0243">
        <w:t>).</w:t>
      </w:r>
    </w:p>
    <w:p w:rsidR="004A0243" w:rsidRPr="004A0243" w:rsidRDefault="004A0243" w:rsidP="004A0243">
      <w:pPr>
        <w:pStyle w:val="a3"/>
        <w:rPr>
          <w:color w:val="0070C0"/>
        </w:rPr>
      </w:pPr>
    </w:p>
    <w:p w:rsidR="004A0243" w:rsidRDefault="004A0243" w:rsidP="004E3DB0">
      <w:pPr>
        <w:pStyle w:val="a3"/>
        <w:rPr>
          <w:color w:val="000000" w:themeColor="text1"/>
        </w:rPr>
      </w:pPr>
    </w:p>
    <w:p w:rsidR="00C41318" w:rsidRDefault="000B2E56" w:rsidP="00C41318">
      <w:pPr>
        <w:jc w:val="both"/>
        <w:rPr>
          <w:sz w:val="28"/>
          <w:szCs w:val="28"/>
        </w:rPr>
      </w:pPr>
      <w:r>
        <w:rPr>
          <w:sz w:val="28"/>
          <w:szCs w:val="28"/>
        </w:rPr>
        <w:t>Исполняющ</w:t>
      </w:r>
      <w:r w:rsidR="00D61C65">
        <w:rPr>
          <w:sz w:val="28"/>
          <w:szCs w:val="28"/>
        </w:rPr>
        <w:t>ий</w:t>
      </w:r>
      <w:r>
        <w:rPr>
          <w:sz w:val="28"/>
          <w:szCs w:val="28"/>
        </w:rPr>
        <w:t xml:space="preserve"> обязанности</w:t>
      </w:r>
    </w:p>
    <w:p w:rsidR="00C41318" w:rsidRDefault="00C41318" w:rsidP="00C41318">
      <w:pPr>
        <w:jc w:val="both"/>
        <w:rPr>
          <w:sz w:val="28"/>
          <w:szCs w:val="28"/>
        </w:rPr>
      </w:pPr>
      <w:r>
        <w:rPr>
          <w:sz w:val="28"/>
          <w:szCs w:val="28"/>
        </w:rPr>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A0243" w:rsidRDefault="004A0243" w:rsidP="004C444C">
      <w:pPr>
        <w:jc w:val="both"/>
        <w:rPr>
          <w:sz w:val="28"/>
          <w:szCs w:val="28"/>
        </w:rPr>
      </w:pPr>
    </w:p>
    <w:p w:rsidR="004A0243" w:rsidRDefault="004A0243" w:rsidP="004C444C">
      <w:pPr>
        <w:jc w:val="both"/>
        <w:rPr>
          <w:sz w:val="28"/>
          <w:szCs w:val="28"/>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Еврейской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Еврейской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Кожукарь</w:t>
      </w:r>
    </w:p>
    <w:sectPr w:rsidR="004C444C"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4D7" w:rsidRDefault="00F074D7">
      <w:r>
        <w:separator/>
      </w:r>
    </w:p>
  </w:endnote>
  <w:endnote w:type="continuationSeparator" w:id="0">
    <w:p w:rsidR="00F074D7" w:rsidRDefault="00F07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4D7" w:rsidRDefault="00F074D7">
      <w:r>
        <w:separator/>
      </w:r>
    </w:p>
  </w:footnote>
  <w:footnote w:type="continuationSeparator" w:id="0">
    <w:p w:rsidR="00F074D7" w:rsidRDefault="00F07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6C1AE9">
          <w:rPr>
            <w:noProof/>
          </w:rPr>
          <w:t>9</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093A6FB6"/>
    <w:lvl w:ilvl="0" w:tplc="254E967A">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0243"/>
    <w:rsid w:val="004A2CBB"/>
    <w:rsid w:val="004A32C0"/>
    <w:rsid w:val="004A393D"/>
    <w:rsid w:val="004A644A"/>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1AE9"/>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2F95"/>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4D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4FF"/>
    <w:rsid w:val="00F308D8"/>
    <w:rsid w:val="00F30B7F"/>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59099E34-5262-4F87-891D-37367F9EA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26</Pages>
  <Words>9730</Words>
  <Characters>55466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44</cp:revision>
  <cp:lastPrinted>2025-02-03T01:48:00Z</cp:lastPrinted>
  <dcterms:created xsi:type="dcterms:W3CDTF">2024-04-02T04:31:00Z</dcterms:created>
  <dcterms:modified xsi:type="dcterms:W3CDTF">2025-04-11T07:10:00Z</dcterms:modified>
</cp:coreProperties>
</file>